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F445B1" w:rsidP="004A6D2F">
            <w:pPr>
              <w:rPr>
                <w:rStyle w:val="Firstpagetablebold"/>
              </w:rPr>
            </w:pPr>
            <w:r w:rsidRPr="00F95BC9">
              <w:rPr>
                <w:rStyle w:val="Firstpagetablebold"/>
              </w:rPr>
              <w:t>City Executive Board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614848" w:rsidP="00614848">
            <w:pPr>
              <w:rPr>
                <w:b/>
              </w:rPr>
            </w:pPr>
            <w:r>
              <w:rPr>
                <w:rStyle w:val="Firstpagetablebold"/>
              </w:rPr>
              <w:t>13 March 2019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F445B1" w:rsidP="00614848">
            <w:pPr>
              <w:rPr>
                <w:rStyle w:val="Firstpagetablebold"/>
              </w:rPr>
            </w:pPr>
            <w:r w:rsidRPr="001356F1">
              <w:rPr>
                <w:rStyle w:val="Firstpagetablebold"/>
              </w:rPr>
              <w:t xml:space="preserve">Head of </w:t>
            </w:r>
            <w:r w:rsidR="00614848">
              <w:rPr>
                <w:rStyle w:val="Firstpagetablebold"/>
              </w:rPr>
              <w:t>Housing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614848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Project Approval for the acquisition of properties into the Housing Revenue Account</w:t>
            </w:r>
          </w:p>
        </w:tc>
      </w:tr>
    </w:tbl>
    <w:p w:rsidR="004F20EF" w:rsidRPr="001A0F1A" w:rsidRDefault="004F20EF" w:rsidP="004A6D2F">
      <w:pPr>
        <w:rPr>
          <w:sz w:val="12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614848" w:rsidP="00B94A3A">
            <w:r>
              <w:t>This report seeks Project Approval for the acquisition of proper</w:t>
            </w:r>
            <w:r w:rsidR="00BE5C7D">
              <w:t xml:space="preserve">ties </w:t>
            </w:r>
            <w:r w:rsidR="005F41BB">
              <w:t xml:space="preserve">by </w:t>
            </w:r>
            <w:r>
              <w:t>the Housing Revenue Account</w:t>
            </w:r>
            <w:r w:rsidR="007E18D7">
              <w:t xml:space="preserve"> (HRA)</w:t>
            </w:r>
            <w:r>
              <w:t>,</w:t>
            </w:r>
            <w:r w:rsidR="00C20DDD">
              <w:t xml:space="preserve"> </w:t>
            </w:r>
            <w:r w:rsidR="007066D0">
              <w:t xml:space="preserve">specifically </w:t>
            </w:r>
            <w:r>
              <w:t xml:space="preserve">new units that may be purchased ‘off-plan’ from a developer.  The purpose is to deliver more affordable housing, and to manage these properties </w:t>
            </w:r>
            <w:r w:rsidR="008E190D">
              <w:t>with</w:t>
            </w:r>
            <w:r>
              <w:t>in the Council</w:t>
            </w:r>
            <w:r w:rsidR="008E190D">
              <w:t>’s HRA</w:t>
            </w:r>
            <w:r>
              <w:t xml:space="preserve"> </w:t>
            </w:r>
            <w:r w:rsidR="008E190D">
              <w:t xml:space="preserve">let </w:t>
            </w:r>
            <w:r>
              <w:t xml:space="preserve">at </w:t>
            </w:r>
            <w:r w:rsidR="00C20DDD">
              <w:t>S</w:t>
            </w:r>
            <w:r>
              <w:t xml:space="preserve">ocial </w:t>
            </w:r>
            <w:r w:rsidR="00C20DDD">
              <w:t>R</w:t>
            </w:r>
            <w:r>
              <w:t>ent levels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614848">
            <w:r w:rsidRPr="001356F1">
              <w:t xml:space="preserve">Yes 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614848">
            <w:r w:rsidRPr="001356F1">
              <w:t xml:space="preserve">Councillor </w:t>
            </w:r>
            <w:r w:rsidR="00614848">
              <w:t xml:space="preserve">Mike Rowley, </w:t>
            </w:r>
            <w:r w:rsidR="00614848" w:rsidRPr="001356F1">
              <w:t>Portfolio</w:t>
            </w:r>
            <w:r w:rsidR="00614848">
              <w:t xml:space="preserve"> for Housing</w:t>
            </w:r>
          </w:p>
        </w:tc>
      </w:tr>
      <w:tr w:rsidR="0080749A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Default="00614848" w:rsidP="00614848">
            <w:r>
              <w:t>Meeting Housing Needs</w:t>
            </w:r>
            <w:r w:rsidR="00C20DDD">
              <w:t>, and</w:t>
            </w:r>
          </w:p>
          <w:p w:rsidR="007066D0" w:rsidRPr="001356F1" w:rsidRDefault="00C20DDD" w:rsidP="00C20DDD">
            <w:r>
              <w:t xml:space="preserve">An </w:t>
            </w:r>
            <w:r w:rsidR="007066D0">
              <w:t>Efficient and</w:t>
            </w:r>
            <w:r>
              <w:t xml:space="preserve"> Effective Council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614848" w:rsidP="00614848">
            <w:r>
              <w:t>Housing and Homelessness Strategy 2018 to 2021</w:t>
            </w:r>
          </w:p>
        </w:tc>
      </w:tr>
      <w:tr w:rsidR="005F7F7E" w:rsidRPr="00975B07" w:rsidTr="00A46E98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975B07" w:rsidRDefault="00156577" w:rsidP="00156577">
            <w:proofErr w:type="spellStart"/>
            <w:r>
              <w:rPr>
                <w:rStyle w:val="Firstpagetablebold"/>
              </w:rPr>
              <w:t>Recommendation</w:t>
            </w:r>
            <w:r w:rsidR="005F7F7E">
              <w:rPr>
                <w:rStyle w:val="Firstpagetablebold"/>
              </w:rPr>
              <w:t>s:</w:t>
            </w:r>
            <w:r w:rsidR="005F7F7E" w:rsidRPr="00156577">
              <w:rPr>
                <w:rStyle w:val="Firstpagetablebold"/>
                <w:b w:val="0"/>
              </w:rPr>
              <w:t>That</w:t>
            </w:r>
            <w:proofErr w:type="spellEnd"/>
            <w:r w:rsidR="005F7F7E" w:rsidRPr="00156577">
              <w:rPr>
                <w:rStyle w:val="Firstpagetablebold"/>
                <w:b w:val="0"/>
              </w:rPr>
              <w:t xml:space="preserve"> the City Executive Board resolves to:</w:t>
            </w:r>
          </w:p>
        </w:tc>
      </w:tr>
      <w:tr w:rsidR="0030208D" w:rsidRPr="00975B07" w:rsidTr="00A46E98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1356F1" w:rsidRDefault="00330BA1" w:rsidP="00C20DDD">
            <w:r>
              <w:rPr>
                <w:rStyle w:val="Firstpagetablebold"/>
              </w:rPr>
              <w:t>G</w:t>
            </w:r>
            <w:r w:rsidR="00FC6127">
              <w:rPr>
                <w:rStyle w:val="Firstpagetablebold"/>
              </w:rPr>
              <w:t>ive</w:t>
            </w:r>
            <w:r>
              <w:rPr>
                <w:rStyle w:val="Firstpagetablebold"/>
              </w:rPr>
              <w:t xml:space="preserve"> Project A</w:t>
            </w:r>
            <w:r w:rsidR="00614848">
              <w:rPr>
                <w:rStyle w:val="Firstpagetablebold"/>
              </w:rPr>
              <w:t xml:space="preserve">pproval </w:t>
            </w:r>
            <w:r w:rsidR="00C20DDD">
              <w:rPr>
                <w:rStyle w:val="Firstpagetablebold"/>
                <w:b w:val="0"/>
              </w:rPr>
              <w:t>to the proposal</w:t>
            </w:r>
            <w:r w:rsidR="00614848" w:rsidRPr="00614848">
              <w:rPr>
                <w:rStyle w:val="Firstpagetablebold"/>
                <w:b w:val="0"/>
              </w:rPr>
              <w:t xml:space="preserve"> to purchase accommodation, as set out in this report, and within the allocated capital budget</w:t>
            </w:r>
            <w:r w:rsidR="0070493D">
              <w:rPr>
                <w:rStyle w:val="Firstpagetablebold"/>
                <w:b w:val="0"/>
              </w:rPr>
              <w:t xml:space="preserve"> for this purpose</w:t>
            </w:r>
            <w:r w:rsidR="00614848" w:rsidRPr="00614848">
              <w:rPr>
                <w:rStyle w:val="Firstpagetablebold"/>
                <w:b w:val="0"/>
              </w:rPr>
              <w:t>;</w:t>
            </w:r>
          </w:p>
        </w:tc>
      </w:tr>
      <w:tr w:rsidR="0030208D" w:rsidRPr="00975B07" w:rsidTr="00A46E98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2.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1356F1" w:rsidRDefault="00614848" w:rsidP="00910FD8">
            <w:r>
              <w:rPr>
                <w:rStyle w:val="Firstpagetablebold"/>
              </w:rPr>
              <w:t xml:space="preserve">Note </w:t>
            </w:r>
            <w:r w:rsidRPr="0070493D">
              <w:rPr>
                <w:rStyle w:val="Firstpagetablebold"/>
                <w:b w:val="0"/>
              </w:rPr>
              <w:t xml:space="preserve">that </w:t>
            </w:r>
            <w:r w:rsidR="0070493D" w:rsidRPr="0070493D">
              <w:rPr>
                <w:rStyle w:val="Firstpagetablebold"/>
                <w:b w:val="0"/>
              </w:rPr>
              <w:t xml:space="preserve">the </w:t>
            </w:r>
            <w:r w:rsidR="0070493D">
              <w:rPr>
                <w:rStyle w:val="Firstpagetablebold"/>
                <w:b w:val="0"/>
              </w:rPr>
              <w:t xml:space="preserve">expected </w:t>
            </w:r>
            <w:r w:rsidR="0070493D" w:rsidRPr="0070493D">
              <w:rPr>
                <w:rStyle w:val="Firstpagetablebold"/>
                <w:b w:val="0"/>
              </w:rPr>
              <w:t xml:space="preserve">budget </w:t>
            </w:r>
            <w:r w:rsidR="0070493D">
              <w:rPr>
                <w:rStyle w:val="Firstpagetablebold"/>
                <w:b w:val="0"/>
              </w:rPr>
              <w:t xml:space="preserve">requirement </w:t>
            </w:r>
            <w:r w:rsidR="0070493D" w:rsidRPr="0070493D">
              <w:rPr>
                <w:rStyle w:val="Firstpagetablebold"/>
                <w:b w:val="0"/>
              </w:rPr>
              <w:t>for this project was set out in the 2019/20 Council budget report</w:t>
            </w:r>
            <w:r w:rsidR="00B94A3A">
              <w:rPr>
                <w:rStyle w:val="Firstpagetablebold"/>
                <w:b w:val="0"/>
              </w:rPr>
              <w:t xml:space="preserve">, </w:t>
            </w:r>
            <w:r w:rsidR="00381684">
              <w:rPr>
                <w:rStyle w:val="Firstpagetablebold"/>
                <w:b w:val="0"/>
              </w:rPr>
              <w:t>albeit at the time of drafting t</w:t>
            </w:r>
            <w:r w:rsidR="00B94A3A">
              <w:rPr>
                <w:rStyle w:val="Firstpagetablebold"/>
                <w:b w:val="0"/>
              </w:rPr>
              <w:t xml:space="preserve">he budget </w:t>
            </w:r>
            <w:r w:rsidR="00381684">
              <w:rPr>
                <w:rStyle w:val="Firstpagetablebold"/>
                <w:b w:val="0"/>
              </w:rPr>
              <w:t>report</w:t>
            </w:r>
            <w:r w:rsidR="00B94A3A">
              <w:rPr>
                <w:rStyle w:val="Firstpagetablebold"/>
                <w:b w:val="0"/>
              </w:rPr>
              <w:t>,</w:t>
            </w:r>
            <w:r w:rsidR="00381684">
              <w:rPr>
                <w:rStyle w:val="Firstpagetablebold"/>
                <w:b w:val="0"/>
              </w:rPr>
              <w:t xml:space="preserve"> the expectation was </w:t>
            </w:r>
            <w:r w:rsidR="008E190D">
              <w:rPr>
                <w:rStyle w:val="Firstpagetablebold"/>
                <w:b w:val="0"/>
              </w:rPr>
              <w:t xml:space="preserve">these acquisitions </w:t>
            </w:r>
            <w:r w:rsidR="00CA2F3E">
              <w:rPr>
                <w:rStyle w:val="Firstpagetablebold"/>
                <w:b w:val="0"/>
              </w:rPr>
              <w:t xml:space="preserve">would receive grant as part of the </w:t>
            </w:r>
            <w:r w:rsidR="008E190D">
              <w:rPr>
                <w:rStyle w:val="Firstpagetablebold"/>
                <w:b w:val="0"/>
              </w:rPr>
              <w:t>Oxfordshire Growth Deal (OGD) activity</w:t>
            </w:r>
            <w:r w:rsidR="00B94A3A">
              <w:rPr>
                <w:rStyle w:val="Firstpagetablebold"/>
                <w:b w:val="0"/>
              </w:rPr>
              <w:t>, whereas use of Retained Right to Buy receipt funding is now proposed to part fund this</w:t>
            </w:r>
            <w:r w:rsidR="00910FD8">
              <w:rPr>
                <w:rStyle w:val="Firstpagetablebold"/>
                <w:b w:val="0"/>
              </w:rPr>
              <w:t xml:space="preserve"> project </w:t>
            </w:r>
            <w:r w:rsidR="00B94A3A">
              <w:rPr>
                <w:rStyle w:val="Firstpagetablebold"/>
                <w:b w:val="0"/>
              </w:rPr>
              <w:t>instead</w:t>
            </w:r>
            <w:r w:rsidR="002069B3" w:rsidRPr="0070493D">
              <w:rPr>
                <w:b/>
              </w:rPr>
              <w:t>;</w:t>
            </w:r>
          </w:p>
        </w:tc>
      </w:tr>
      <w:tr w:rsidR="00232F5B" w:rsidRPr="00975B07" w:rsidTr="0070493D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3.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C20DDD" w:rsidRDefault="0070493D" w:rsidP="00910FD8">
            <w:pPr>
              <w:rPr>
                <w:b/>
              </w:rPr>
            </w:pPr>
            <w:r>
              <w:rPr>
                <w:rStyle w:val="Firstpagetablebold"/>
              </w:rPr>
              <w:t xml:space="preserve">Delegate authority </w:t>
            </w:r>
            <w:r w:rsidRPr="0070493D">
              <w:rPr>
                <w:rStyle w:val="Firstpagetablebold"/>
                <w:b w:val="0"/>
              </w:rPr>
              <w:t xml:space="preserve">to the </w:t>
            </w:r>
            <w:r w:rsidR="00BA1CB5">
              <w:rPr>
                <w:rStyle w:val="Firstpagetablebold"/>
                <w:b w:val="0"/>
              </w:rPr>
              <w:t>Regeneration and Major Projects Service Manager, in con</w:t>
            </w:r>
            <w:r w:rsidR="007E18D7">
              <w:rPr>
                <w:rStyle w:val="Firstpagetablebold"/>
                <w:b w:val="0"/>
              </w:rPr>
              <w:t>sulta</w:t>
            </w:r>
            <w:r w:rsidR="00BA1CB5">
              <w:rPr>
                <w:rStyle w:val="Firstpagetablebold"/>
                <w:b w:val="0"/>
              </w:rPr>
              <w:t>tion with the Head of Finance</w:t>
            </w:r>
            <w:r w:rsidR="00910FD8">
              <w:rPr>
                <w:rStyle w:val="Firstpagetablebold"/>
                <w:b w:val="0"/>
              </w:rPr>
              <w:t>,</w:t>
            </w:r>
            <w:r w:rsidRPr="0070493D">
              <w:rPr>
                <w:rStyle w:val="Firstpagetablebold"/>
                <w:b w:val="0"/>
              </w:rPr>
              <w:t xml:space="preserve"> to approve any property purchases for this </w:t>
            </w:r>
            <w:r w:rsidRPr="00C20DDD">
              <w:rPr>
                <w:rStyle w:val="Firstpagetablebold"/>
                <w:b w:val="0"/>
              </w:rPr>
              <w:t>projec</w:t>
            </w:r>
            <w:r w:rsidR="00C20DDD">
              <w:rPr>
                <w:rStyle w:val="Firstpagetablebold"/>
                <w:b w:val="0"/>
              </w:rPr>
              <w:t>t</w:t>
            </w:r>
            <w:r w:rsidR="00BF5FFA" w:rsidRPr="00C20DDD">
              <w:rPr>
                <w:rStyle w:val="Firstpagetablebold"/>
                <w:b w:val="0"/>
              </w:rPr>
              <w:t xml:space="preserve"> </w:t>
            </w:r>
            <w:r w:rsidR="00B90843">
              <w:rPr>
                <w:rStyle w:val="Firstpagetablebold"/>
                <w:b w:val="0"/>
              </w:rPr>
              <w:t xml:space="preserve">and to enter into agreement on the basis that </w:t>
            </w:r>
            <w:r w:rsidR="007E18D7">
              <w:rPr>
                <w:rStyle w:val="Firstpagetablebold"/>
                <w:b w:val="0"/>
              </w:rPr>
              <w:t xml:space="preserve">in the opinion of the Head of Finance </w:t>
            </w:r>
            <w:r w:rsidR="00B90843">
              <w:rPr>
                <w:rStyle w:val="Firstpagetablebold"/>
                <w:b w:val="0"/>
              </w:rPr>
              <w:t>this continues to represent best value</w:t>
            </w:r>
            <w:r w:rsidR="00C20DDD">
              <w:rPr>
                <w:rStyle w:val="Firstpagetablebold"/>
                <w:b w:val="0"/>
              </w:rPr>
              <w:t>;</w:t>
            </w:r>
            <w:r w:rsidR="00156577">
              <w:rPr>
                <w:rStyle w:val="Firstpagetablebold"/>
                <w:b w:val="0"/>
              </w:rPr>
              <w:t xml:space="preserve"> and</w:t>
            </w:r>
          </w:p>
        </w:tc>
      </w:tr>
      <w:tr w:rsidR="00232F5B" w:rsidRPr="00975B07" w:rsidTr="0070493D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0208D" w:rsidRPr="00975B07" w:rsidRDefault="00046D2B" w:rsidP="004A6D2F">
            <w:r w:rsidRPr="00975B07">
              <w:t>4.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769" w:rsidRDefault="0070493D" w:rsidP="00910FD8">
            <w:pPr>
              <w:rPr>
                <w:rStyle w:val="Firstpagetablebold"/>
                <w:b w:val="0"/>
              </w:rPr>
            </w:pPr>
            <w:r>
              <w:rPr>
                <w:rStyle w:val="Firstpagetablebold"/>
              </w:rPr>
              <w:t xml:space="preserve">Note </w:t>
            </w:r>
            <w:r w:rsidRPr="0070493D">
              <w:rPr>
                <w:rStyle w:val="Firstpagetablebold"/>
                <w:b w:val="0"/>
              </w:rPr>
              <w:t>that any properties purchased are to be used as social rented housing and let to housing applicants in housing need</w:t>
            </w:r>
            <w:r w:rsidR="00910FD8">
              <w:rPr>
                <w:rStyle w:val="Firstpagetablebold"/>
                <w:b w:val="0"/>
              </w:rPr>
              <w:t xml:space="preserve"> and</w:t>
            </w:r>
            <w:r w:rsidRPr="0070493D">
              <w:rPr>
                <w:rStyle w:val="Firstpagetablebold"/>
                <w:b w:val="0"/>
              </w:rPr>
              <w:t xml:space="preserve"> on the Housing Register in Oxford, as </w:t>
            </w:r>
            <w:r w:rsidR="007E18D7">
              <w:rPr>
                <w:rStyle w:val="Firstpagetablebold"/>
                <w:b w:val="0"/>
              </w:rPr>
              <w:t>secure tenancies</w:t>
            </w:r>
            <w:r>
              <w:rPr>
                <w:rStyle w:val="Firstpagetablebold"/>
                <w:b w:val="0"/>
              </w:rPr>
              <w:t>.</w:t>
            </w:r>
          </w:p>
          <w:p w:rsidR="00BA7769" w:rsidRPr="001356F1" w:rsidRDefault="00BA7769" w:rsidP="00910FD8"/>
        </w:tc>
      </w:tr>
      <w:tr w:rsidR="00966D42" w:rsidRPr="00975B07" w:rsidTr="00A46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704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975B07" w:rsidRDefault="00ED5860" w:rsidP="004A6D2F">
            <w:r w:rsidRPr="00975B07">
              <w:lastRenderedPageBreak/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D5860" w:rsidRPr="001356F1" w:rsidRDefault="0070493D" w:rsidP="004A6D2F">
            <w:r>
              <w:t>Risk Register</w:t>
            </w:r>
          </w:p>
        </w:tc>
      </w:tr>
      <w:tr w:rsidR="00ED5860" w:rsidRPr="00975B07" w:rsidTr="00704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D5860" w:rsidRDefault="0030208D" w:rsidP="004A6D2F">
            <w:r w:rsidRPr="00975B07">
              <w:t>Appendix 2</w:t>
            </w:r>
          </w:p>
          <w:p w:rsidR="00FC6127" w:rsidRPr="00975B07" w:rsidRDefault="00FC6127" w:rsidP="004A6D2F">
            <w:r>
              <w:t>Appendix 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C6127" w:rsidRDefault="0070493D" w:rsidP="0070493D">
            <w:r>
              <w:t>Equality Impact Assessment</w:t>
            </w:r>
          </w:p>
          <w:p w:rsidR="00FC6127" w:rsidRPr="00FC6127" w:rsidRDefault="00FC6127" w:rsidP="007E18D7">
            <w:pPr>
              <w:rPr>
                <w:color w:val="FF0000"/>
              </w:rPr>
            </w:pPr>
            <w:r w:rsidRPr="00FC6127">
              <w:rPr>
                <w:color w:val="auto"/>
              </w:rPr>
              <w:t xml:space="preserve">Property Information and Valuation </w:t>
            </w:r>
            <w:r w:rsidR="003461D6" w:rsidRPr="001A0F1A">
              <w:rPr>
                <w:color w:val="FF0000"/>
              </w:rPr>
              <w:t>–</w:t>
            </w:r>
            <w:r w:rsidRPr="001A0F1A">
              <w:rPr>
                <w:color w:val="FF0000"/>
              </w:rPr>
              <w:t xml:space="preserve"> </w:t>
            </w:r>
            <w:r w:rsidR="007E18D7" w:rsidRPr="001A0F1A">
              <w:rPr>
                <w:color w:val="FF0000"/>
              </w:rPr>
              <w:t>Exempt</w:t>
            </w:r>
            <w:r w:rsidR="003461D6" w:rsidRPr="001A0F1A">
              <w:rPr>
                <w:color w:val="FF0000"/>
              </w:rPr>
              <w:t xml:space="preserve"> Paper</w:t>
            </w:r>
          </w:p>
        </w:tc>
      </w:tr>
    </w:tbl>
    <w:p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633578" w:rsidRPr="001356F1" w:rsidRDefault="00FC6127" w:rsidP="00E87F7A">
      <w:pPr>
        <w:pStyle w:val="ListParagraph"/>
      </w:pPr>
      <w:r>
        <w:t>The Council has the opportunity to purchase further accommodation in</w:t>
      </w:r>
      <w:r w:rsidR="00E4732E">
        <w:t>to</w:t>
      </w:r>
      <w:r>
        <w:t xml:space="preserve"> the Housing Revenue Account (HRA) to be used as permanent housing within the Council’s housing stock.  The units will be </w:t>
      </w:r>
      <w:r w:rsidRPr="0070493D">
        <w:rPr>
          <w:rStyle w:val="Firstpagetablebold"/>
          <w:b w:val="0"/>
        </w:rPr>
        <w:t>let to applicants in housing need on the Housing Register</w:t>
      </w:r>
      <w:r>
        <w:rPr>
          <w:rStyle w:val="Firstpagetablebold"/>
          <w:b w:val="0"/>
        </w:rPr>
        <w:t xml:space="preserve">, at a </w:t>
      </w:r>
      <w:r>
        <w:t>Social Rent.</w:t>
      </w:r>
      <w:r w:rsidR="00D1272D">
        <w:t xml:space="preserve"> </w:t>
      </w:r>
    </w:p>
    <w:p w:rsidR="00FC6127" w:rsidRDefault="00FC6127" w:rsidP="005570B5">
      <w:pPr>
        <w:pStyle w:val="bParagraphtext"/>
      </w:pPr>
      <w:r>
        <w:t>The scheme has planning consent for nine dwellings, and the proposal is to convert the tenure of these properties from market sale into affordable housing.</w:t>
      </w:r>
    </w:p>
    <w:p w:rsidR="00E4732E" w:rsidRDefault="00FC6127" w:rsidP="00E4732E">
      <w:pPr>
        <w:pStyle w:val="bParagraphtext"/>
      </w:pPr>
      <w:r>
        <w:t>Th</w:t>
      </w:r>
      <w:r w:rsidR="00E4732E">
        <w:t>is development opportunity could deliver much needed homes relative</w:t>
      </w:r>
      <w:r w:rsidR="00D1272D">
        <w:t>ly quickly</w:t>
      </w:r>
      <w:r w:rsidR="00B90843">
        <w:t xml:space="preserve">. </w:t>
      </w:r>
      <w:r w:rsidR="00D1272D">
        <w:t xml:space="preserve"> </w:t>
      </w:r>
      <w:r w:rsidR="00E4732E">
        <w:t xml:space="preserve">  The mix of unit sizes meet</w:t>
      </w:r>
      <w:r w:rsidR="008749C2">
        <w:t>s</w:t>
      </w:r>
      <w:r w:rsidR="00E4732E">
        <w:t xml:space="preserve"> the needs of households in high housing need in a popular Oxford location, </w:t>
      </w:r>
      <w:r w:rsidR="00E4732E" w:rsidRPr="00E4732E">
        <w:t>relatively close to the city centre, and very close to local amenities</w:t>
      </w:r>
      <w:r w:rsidR="00E4732E">
        <w:t xml:space="preserve"> and </w:t>
      </w:r>
      <w:r w:rsidR="00E4732E" w:rsidRPr="00E4732E">
        <w:t xml:space="preserve">schools.  </w:t>
      </w:r>
      <w:r w:rsidR="00E4732E">
        <w:t>T</w:t>
      </w:r>
      <w:r>
        <w:t>he details relating to the</w:t>
      </w:r>
      <w:r w:rsidR="00E4732E">
        <w:t xml:space="preserve"> scheme and propert</w:t>
      </w:r>
      <w:r w:rsidR="003461D6">
        <w:t>y</w:t>
      </w:r>
      <w:r w:rsidR="00E4732E">
        <w:t xml:space="preserve"> </w:t>
      </w:r>
      <w:r w:rsidR="00132DDF">
        <w:t xml:space="preserve">are </w:t>
      </w:r>
      <w:r w:rsidR="00E4732E">
        <w:t xml:space="preserve">commercially sensitive, and </w:t>
      </w:r>
      <w:r w:rsidR="00132DDF">
        <w:t xml:space="preserve">are </w:t>
      </w:r>
      <w:r w:rsidR="00E4732E">
        <w:t xml:space="preserve">detailed in the </w:t>
      </w:r>
      <w:r w:rsidR="00670CFA">
        <w:t>exempt</w:t>
      </w:r>
      <w:r w:rsidR="00E4732E">
        <w:t xml:space="preserve"> appendix to this report.</w:t>
      </w:r>
    </w:p>
    <w:p w:rsidR="00E4732E" w:rsidRDefault="00E4732E" w:rsidP="00E4732E">
      <w:pPr>
        <w:pStyle w:val="bParagraphtext"/>
      </w:pPr>
      <w:r>
        <w:t xml:space="preserve">The proposed start on site is </w:t>
      </w:r>
      <w:proofErr w:type="gramStart"/>
      <w:r>
        <w:t>Spring</w:t>
      </w:r>
      <w:proofErr w:type="gramEnd"/>
      <w:r>
        <w:t xml:space="preserve"> 2019, with expected completion </w:t>
      </w:r>
      <w:r w:rsidR="00E44CBF">
        <w:t xml:space="preserve">approximately </w:t>
      </w:r>
      <w:r>
        <w:t>12 months later.</w:t>
      </w:r>
    </w:p>
    <w:p w:rsidR="00E87F7A" w:rsidRPr="001356F1" w:rsidRDefault="00E44CBF" w:rsidP="00E4732E">
      <w:pPr>
        <w:pStyle w:val="bParagraphtext"/>
        <w:numPr>
          <w:ilvl w:val="0"/>
          <w:numId w:val="0"/>
        </w:numPr>
        <w:rPr>
          <w:b/>
        </w:rPr>
      </w:pPr>
      <w:r>
        <w:rPr>
          <w:b/>
        </w:rPr>
        <w:t>Proposal</w:t>
      </w:r>
    </w:p>
    <w:p w:rsidR="00E4732E" w:rsidRDefault="00E4732E" w:rsidP="005570B5">
      <w:pPr>
        <w:pStyle w:val="ListParagraph"/>
      </w:pPr>
      <w:r>
        <w:t>The proposal is that the Council could purchase these units “off-plan”</w:t>
      </w:r>
      <w:r w:rsidR="00B94A3A">
        <w:t xml:space="preserve"> (prior to the commencement of the build)</w:t>
      </w:r>
      <w:r>
        <w:t xml:space="preserve">, taking possession of the properties, as freeholder, on a “turn-key” </w:t>
      </w:r>
      <w:r w:rsidR="00205E96">
        <w:t xml:space="preserve">(ready for letting) </w:t>
      </w:r>
      <w:r>
        <w:t>basis at completion.</w:t>
      </w:r>
    </w:p>
    <w:p w:rsidR="00E4732E" w:rsidRDefault="00E4732E" w:rsidP="005570B5">
      <w:pPr>
        <w:pStyle w:val="ListParagraph"/>
      </w:pPr>
      <w:r>
        <w:t>Officers have undertaken</w:t>
      </w:r>
      <w:r w:rsidR="00132DDF">
        <w:t xml:space="preserve"> limited </w:t>
      </w:r>
      <w:r>
        <w:t xml:space="preserve">due diligence around this proposal, but any agreement is subject to </w:t>
      </w:r>
      <w:r w:rsidR="00670CFA">
        <w:t xml:space="preserve">further due diligence and </w:t>
      </w:r>
      <w:r>
        <w:t xml:space="preserve">suitable contract terms being agreed, including </w:t>
      </w:r>
      <w:r w:rsidR="003461D6">
        <w:t xml:space="preserve">the satisfactory completion of negotiations regarding </w:t>
      </w:r>
      <w:r>
        <w:t>the cost of the purchase.</w:t>
      </w:r>
    </w:p>
    <w:p w:rsidR="00E44CBF" w:rsidRPr="00E44CBF" w:rsidRDefault="00E44CBF" w:rsidP="00E44CBF">
      <w:pPr>
        <w:pStyle w:val="ListParagraph"/>
        <w:numPr>
          <w:ilvl w:val="0"/>
          <w:numId w:val="0"/>
        </w:numPr>
        <w:rPr>
          <w:b/>
        </w:rPr>
      </w:pPr>
      <w:r w:rsidRPr="00E44CBF">
        <w:rPr>
          <w:b/>
        </w:rPr>
        <w:t>Options</w:t>
      </w:r>
    </w:p>
    <w:p w:rsidR="00E44CBF" w:rsidRDefault="003461D6" w:rsidP="00E44CBF">
      <w:pPr>
        <w:pStyle w:val="ListParagraph"/>
      </w:pPr>
      <w:r>
        <w:t>The Council has not entered into any commitment with regard to purchasing this development, and currently a financial contribution from the developer for off-site affordable housing is expected (this being a site with a capacity of 4 to 9 units).  This requirement would not be required if the developer changes this scheme into one providing 100% affordable housing.</w:t>
      </w:r>
      <w:r w:rsidR="00E44CBF" w:rsidRPr="00E44CBF">
        <w:t xml:space="preserve"> </w:t>
      </w:r>
      <w:r w:rsidR="00205E96">
        <w:t xml:space="preserve"> </w:t>
      </w:r>
      <w:r w:rsidR="00E44CBF">
        <w:t>If the Council does not purchase the scheme, then it is probable that the scheme will progress for market sale.</w:t>
      </w:r>
      <w:r w:rsidR="00CB7B88">
        <w:t xml:space="preserve">  </w:t>
      </w:r>
      <w:r w:rsidR="006351CA">
        <w:t xml:space="preserve">Details of the anticipated contribution are attached </w:t>
      </w:r>
      <w:r w:rsidR="00670CFA">
        <w:t>in exempt</w:t>
      </w:r>
      <w:r w:rsidR="00CB7B88">
        <w:t xml:space="preserve"> </w:t>
      </w:r>
      <w:r w:rsidR="00670CFA">
        <w:t>A</w:t>
      </w:r>
      <w:r w:rsidR="00CB7B88">
        <w:t>ppendix</w:t>
      </w:r>
      <w:r w:rsidR="00670CFA">
        <w:t xml:space="preserve"> 3</w:t>
      </w:r>
      <w:r w:rsidR="00CB7B88">
        <w:t>.</w:t>
      </w:r>
    </w:p>
    <w:p w:rsidR="00B90843" w:rsidRDefault="00E44CBF" w:rsidP="00E44CBF">
      <w:pPr>
        <w:pStyle w:val="ListParagraph"/>
      </w:pPr>
      <w:r>
        <w:t>S</w:t>
      </w:r>
      <w:r w:rsidR="00B90843">
        <w:t>pend on this proposal is qualifying expenditure for the use of</w:t>
      </w:r>
      <w:r w:rsidR="00B90843" w:rsidRPr="00B90843">
        <w:t xml:space="preserve"> </w:t>
      </w:r>
      <w:r w:rsidR="00B90843">
        <w:t xml:space="preserve">unspent Retained Right to Buy (RRTB) receipts, up to 30% of the eligible spend on the development, and it is proposed that this funding be used to subsidise the cost </w:t>
      </w:r>
      <w:r w:rsidR="00910FD8">
        <w:t xml:space="preserve">to the HRA </w:t>
      </w:r>
      <w:r w:rsidR="00B90843">
        <w:t>accordingly.</w:t>
      </w:r>
    </w:p>
    <w:p w:rsidR="00E44CBF" w:rsidRPr="00E44CBF" w:rsidRDefault="002329CF" w:rsidP="00E44CBF">
      <w:pPr>
        <w:pStyle w:val="ListParagraph"/>
        <w:numPr>
          <w:ilvl w:val="0"/>
          <w:numId w:val="0"/>
        </w:numPr>
        <w:rPr>
          <w:b/>
        </w:rPr>
      </w:pPr>
      <w:r w:rsidRPr="00E44CBF">
        <w:rPr>
          <w:b/>
        </w:rPr>
        <w:t>Financial implications</w:t>
      </w:r>
    </w:p>
    <w:p w:rsidR="00205E96" w:rsidRDefault="00BA1CB5" w:rsidP="00E44CBF">
      <w:pPr>
        <w:pStyle w:val="ListParagraph"/>
      </w:pPr>
      <w:r>
        <w:t xml:space="preserve">The HRA section within Appendix 6 (Capital Programme) of the 2019/20 Budget Report indicates that there is a sum of £3.2m made available for the acquisition of additional units spread over 2019/20 and 2020/21 that could be used for this scheme. If phasing of the </w:t>
      </w:r>
      <w:r w:rsidR="00981A86">
        <w:t xml:space="preserve">spend needs to be revised </w:t>
      </w:r>
      <w:r w:rsidR="00670CFA">
        <w:t xml:space="preserve">subsequently </w:t>
      </w:r>
      <w:r w:rsidR="00981A86">
        <w:t>then this can be requested from</w:t>
      </w:r>
      <w:r w:rsidR="00670CFA">
        <w:t xml:space="preserve"> the </w:t>
      </w:r>
      <w:r w:rsidR="00981A86">
        <w:t>C</w:t>
      </w:r>
      <w:r w:rsidR="00670CFA">
        <w:t xml:space="preserve">ity </w:t>
      </w:r>
      <w:r w:rsidR="00981A86">
        <w:t>E</w:t>
      </w:r>
      <w:r w:rsidR="00670CFA">
        <w:t xml:space="preserve">xecutive </w:t>
      </w:r>
      <w:r w:rsidR="00981A86">
        <w:t>B</w:t>
      </w:r>
      <w:r w:rsidR="00670CFA">
        <w:t>oard</w:t>
      </w:r>
      <w:r w:rsidR="00981A86">
        <w:t xml:space="preserve"> </w:t>
      </w:r>
      <w:r w:rsidR="00670CFA">
        <w:t>at</w:t>
      </w:r>
      <w:r w:rsidR="00205E96">
        <w:t xml:space="preserve"> </w:t>
      </w:r>
      <w:r w:rsidR="00981A86">
        <w:t>a future date.</w:t>
      </w:r>
      <w:r>
        <w:t xml:space="preserve"> </w:t>
      </w:r>
    </w:p>
    <w:p w:rsidR="00205E96" w:rsidRDefault="00205E96" w:rsidP="00E44CBF">
      <w:pPr>
        <w:pStyle w:val="ListParagraph"/>
      </w:pPr>
      <w:r>
        <w:lastRenderedPageBreak/>
        <w:t xml:space="preserve">There is </w:t>
      </w:r>
      <w:r w:rsidR="0053400A">
        <w:t xml:space="preserve">provision within the current HRA Business Plan to use </w:t>
      </w:r>
      <w:r w:rsidR="00910FD8">
        <w:t xml:space="preserve">existing </w:t>
      </w:r>
      <w:r w:rsidR="0053400A">
        <w:t>borrowing headroom to secure additional units of accommodation into the HRA.</w:t>
      </w:r>
    </w:p>
    <w:p w:rsidR="00E44CBF" w:rsidRDefault="0053400A" w:rsidP="00E44CBF">
      <w:pPr>
        <w:pStyle w:val="ListParagraph"/>
      </w:pPr>
      <w:r>
        <w:t>After us</w:t>
      </w:r>
      <w:r w:rsidRPr="002106A6">
        <w:t>ing RRTB funds</w:t>
      </w:r>
      <w:r>
        <w:t xml:space="preserve"> to cover 30% of the cost, the </w:t>
      </w:r>
      <w:r w:rsidR="00981A86">
        <w:t xml:space="preserve">net </w:t>
      </w:r>
      <w:r w:rsidR="00E44CBF" w:rsidRPr="002106A6">
        <w:t>cost of the scheme</w:t>
      </w:r>
      <w:r>
        <w:t xml:space="preserve"> to the HRA,</w:t>
      </w:r>
      <w:r w:rsidR="00E44CBF" w:rsidRPr="002106A6">
        <w:t xml:space="preserve"> are within acceptable </w:t>
      </w:r>
      <w:r w:rsidR="00981A86">
        <w:t xml:space="preserve">development </w:t>
      </w:r>
      <w:r w:rsidR="00E44CBF" w:rsidRPr="002106A6">
        <w:t>tolerances</w:t>
      </w:r>
      <w:r w:rsidR="00981A86">
        <w:t xml:space="preserve"> for Payback, Net Present Value</w:t>
      </w:r>
      <w:r w:rsidR="00910FD8">
        <w:t>;</w:t>
      </w:r>
      <w:r w:rsidR="00981A86">
        <w:t xml:space="preserve"> and an Internal Rate of Return based on </w:t>
      </w:r>
      <w:r w:rsidR="00CE35E8">
        <w:t>S</w:t>
      </w:r>
      <w:r w:rsidR="00E44CBF">
        <w:t xml:space="preserve">ocial </w:t>
      </w:r>
      <w:r w:rsidR="00CE35E8">
        <w:t>R</w:t>
      </w:r>
      <w:r w:rsidR="00E44CBF">
        <w:t>ent</w:t>
      </w:r>
      <w:r w:rsidR="00981A86">
        <w:t xml:space="preserve"> and borrowing at the prevailing</w:t>
      </w:r>
      <w:r w:rsidR="00E44CBF">
        <w:t xml:space="preserve"> P</w:t>
      </w:r>
      <w:r w:rsidR="00670CFA">
        <w:t xml:space="preserve">ublic </w:t>
      </w:r>
      <w:r w:rsidR="00E44CBF">
        <w:t>W</w:t>
      </w:r>
      <w:r w:rsidR="00670CFA">
        <w:t xml:space="preserve">orks </w:t>
      </w:r>
      <w:r w:rsidR="00E44CBF">
        <w:t>L</w:t>
      </w:r>
      <w:r w:rsidR="00670CFA">
        <w:t xml:space="preserve">oan </w:t>
      </w:r>
      <w:r w:rsidR="00E44CBF">
        <w:t>B</w:t>
      </w:r>
      <w:r w:rsidR="00670CFA">
        <w:t>oard</w:t>
      </w:r>
      <w:r w:rsidR="00E44CBF">
        <w:t xml:space="preserve"> interest rate</w:t>
      </w:r>
      <w:r w:rsidR="00E44CBF" w:rsidRPr="002106A6">
        <w:t>.</w:t>
      </w:r>
      <w:r w:rsidR="00E44CBF">
        <w:t xml:space="preserve"> </w:t>
      </w:r>
      <w:r>
        <w:t xml:space="preserve"> </w:t>
      </w:r>
      <w:r w:rsidR="00981A86">
        <w:t>It is anticipated that c</w:t>
      </w:r>
      <w:r w:rsidR="00E44CBF">
        <w:t xml:space="preserve">ash flows will be negative </w:t>
      </w:r>
      <w:r w:rsidR="00981A86">
        <w:t xml:space="preserve">for the </w:t>
      </w:r>
      <w:r w:rsidR="00E44CBF">
        <w:t>initial years (</w:t>
      </w:r>
      <w:r w:rsidR="006D6E1A">
        <w:t xml:space="preserve">at levels </w:t>
      </w:r>
      <w:r w:rsidR="00E44CBF">
        <w:t>depend</w:t>
      </w:r>
      <w:r w:rsidR="00670CFA">
        <w:t>e</w:t>
      </w:r>
      <w:r w:rsidR="00E44CBF">
        <w:t xml:space="preserve">nt on </w:t>
      </w:r>
      <w:r w:rsidR="006D6E1A">
        <w:t xml:space="preserve">the </w:t>
      </w:r>
      <w:r w:rsidR="00F30F73">
        <w:t xml:space="preserve">purchase price </w:t>
      </w:r>
      <w:r w:rsidR="002F4E89">
        <w:t xml:space="preserve">that is </w:t>
      </w:r>
      <w:r w:rsidR="00F30F73">
        <w:t xml:space="preserve">negotiated </w:t>
      </w:r>
      <w:r w:rsidR="006D6E1A">
        <w:t xml:space="preserve">and </w:t>
      </w:r>
      <w:r w:rsidR="00E44CBF">
        <w:t>agreed)</w:t>
      </w:r>
      <w:r>
        <w:t>.</w:t>
      </w:r>
      <w:r w:rsidR="00E44CBF">
        <w:t xml:space="preserve"> </w:t>
      </w:r>
      <w:r w:rsidR="00047C9D">
        <w:t>Further financial information, including valuations are contained in Appendix 3.</w:t>
      </w:r>
      <w:r w:rsidR="00E44CBF">
        <w:t xml:space="preserve"> </w:t>
      </w:r>
    </w:p>
    <w:p w:rsidR="00B90843" w:rsidRDefault="001C6795" w:rsidP="00B90843">
      <w:pPr>
        <w:pStyle w:val="ListParagraph"/>
      </w:pPr>
      <w:r>
        <w:t>There are expected to be limited associated costs of this purchase other than stamp duty, which is accounted for in the funding envelop</w:t>
      </w:r>
      <w:r w:rsidR="002C70C0">
        <w:t xml:space="preserve">e </w:t>
      </w:r>
      <w:r w:rsidR="00B24201">
        <w:t xml:space="preserve">and </w:t>
      </w:r>
      <w:r w:rsidR="002C70C0">
        <w:t xml:space="preserve">detailed in </w:t>
      </w:r>
      <w:r w:rsidR="00670CFA">
        <w:t>A</w:t>
      </w:r>
      <w:r w:rsidR="002C70C0">
        <w:t>pp</w:t>
      </w:r>
      <w:r w:rsidR="00B24201">
        <w:t>endix</w:t>
      </w:r>
      <w:r w:rsidR="00670CFA">
        <w:t xml:space="preserve"> 3</w:t>
      </w:r>
      <w:r w:rsidR="00B24201">
        <w:t>.</w:t>
      </w:r>
    </w:p>
    <w:p w:rsidR="00F525EF" w:rsidRPr="001356F1" w:rsidRDefault="00F525EF" w:rsidP="00B90843">
      <w:pPr>
        <w:pStyle w:val="ListParagraph"/>
      </w:pPr>
      <w:r>
        <w:t>An external valuation has been commis</w:t>
      </w:r>
      <w:r w:rsidR="00B24201">
        <w:t>s</w:t>
      </w:r>
      <w:r>
        <w:t>ioned</w:t>
      </w:r>
      <w:r w:rsidR="00B90843">
        <w:t xml:space="preserve"> to provide additional advice with regards to the value of the development.  The price paid by the Council will be net of any Affordable Housing contribution that will be forgone as a result of th</w:t>
      </w:r>
      <w:r w:rsidR="00670CFA">
        <w:t>e</w:t>
      </w:r>
      <w:r w:rsidR="00B90843">
        <w:t xml:space="preserve"> switch from market to affordable housing.</w:t>
      </w:r>
    </w:p>
    <w:p w:rsidR="0040736F" w:rsidRPr="001356F1" w:rsidRDefault="00DA614B" w:rsidP="004A6D2F">
      <w:pPr>
        <w:pStyle w:val="Heading1"/>
      </w:pPr>
      <w:r w:rsidRPr="001356F1">
        <w:t>Legal issues</w:t>
      </w:r>
    </w:p>
    <w:p w:rsidR="0053400A" w:rsidRDefault="004B40F3" w:rsidP="0053400A">
      <w:pPr>
        <w:pStyle w:val="ListParagraph"/>
        <w:rPr>
          <w:rFonts w:cs="Arial"/>
          <w:color w:val="auto"/>
          <w:lang w:val="en-US"/>
        </w:rPr>
      </w:pPr>
      <w:r w:rsidRPr="004B40F3">
        <w:rPr>
          <w:rFonts w:cs="Arial"/>
          <w:color w:val="auto"/>
        </w:rPr>
        <w:t>Under Section 17</w:t>
      </w:r>
      <w:r w:rsidR="000623FB">
        <w:rPr>
          <w:rFonts w:cs="Arial"/>
          <w:color w:val="auto"/>
        </w:rPr>
        <w:t xml:space="preserve"> (1) </w:t>
      </w:r>
      <w:r w:rsidRPr="004B40F3">
        <w:rPr>
          <w:rFonts w:cs="Arial"/>
          <w:color w:val="auto"/>
        </w:rPr>
        <w:t xml:space="preserve">(b) of the Housing Act 1985 the Council acting as a </w:t>
      </w:r>
      <w:r w:rsidRPr="004B40F3">
        <w:rPr>
          <w:rFonts w:cs="Arial"/>
          <w:color w:val="auto"/>
          <w:lang w:val="en-US"/>
        </w:rPr>
        <w:t>local housing authority has the power to acquire houses, or buildings which may be made suitable as houses, together with any land occupied with the houses or buildings</w:t>
      </w:r>
      <w:r w:rsidR="0053400A">
        <w:rPr>
          <w:rFonts w:cs="Arial"/>
          <w:color w:val="auto"/>
          <w:lang w:val="en-US"/>
        </w:rPr>
        <w:t xml:space="preserve">.  </w:t>
      </w:r>
    </w:p>
    <w:p w:rsidR="0053400A" w:rsidRPr="0053400A" w:rsidRDefault="0053400A" w:rsidP="0053400A">
      <w:pPr>
        <w:pStyle w:val="ListParagraph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>I</w:t>
      </w:r>
      <w:r w:rsidR="00CE35E8" w:rsidRPr="0053400A">
        <w:rPr>
          <w:rFonts w:cs="Arial"/>
          <w:color w:val="auto"/>
        </w:rPr>
        <w:t xml:space="preserve">t is proposed that the conveyancing for these new property acquisitions is undertaken using </w:t>
      </w:r>
      <w:r w:rsidR="00EC15E6" w:rsidRPr="0053400A">
        <w:rPr>
          <w:rFonts w:cs="Arial"/>
          <w:color w:val="auto"/>
        </w:rPr>
        <w:t>the Council’s in-house legal team</w:t>
      </w:r>
      <w:r w:rsidR="00910FD8">
        <w:rPr>
          <w:rFonts w:cs="Arial"/>
          <w:color w:val="auto"/>
        </w:rPr>
        <w:t>.</w:t>
      </w:r>
      <w:r w:rsidR="00EC15E6" w:rsidRPr="0053400A">
        <w:rPr>
          <w:rFonts w:cs="Arial"/>
          <w:color w:val="auto"/>
        </w:rPr>
        <w:t xml:space="preserve"> </w:t>
      </w:r>
    </w:p>
    <w:p w:rsidR="00CE35E8" w:rsidRPr="0053400A" w:rsidRDefault="00CE35E8" w:rsidP="0053400A">
      <w:pPr>
        <w:rPr>
          <w:rFonts w:cs="Arial"/>
          <w:color w:val="auto"/>
          <w:lang w:val="en-US"/>
        </w:rPr>
      </w:pPr>
      <w:r w:rsidRPr="0053400A">
        <w:rPr>
          <w:b/>
        </w:rPr>
        <w:t>Level of risk</w:t>
      </w:r>
    </w:p>
    <w:p w:rsidR="00BC69A4" w:rsidRPr="001356F1" w:rsidRDefault="00CE35E8" w:rsidP="00CE35E8">
      <w:pPr>
        <w:pStyle w:val="ListParagraph"/>
      </w:pPr>
      <w:r w:rsidRPr="001356F1">
        <w:t>A</w:t>
      </w:r>
      <w:r>
        <w:t xml:space="preserve"> </w:t>
      </w:r>
      <w:r w:rsidRPr="001356F1">
        <w:t xml:space="preserve">Risk Register </w:t>
      </w:r>
      <w:r>
        <w:t>is provided at A</w:t>
      </w:r>
      <w:r w:rsidRPr="001356F1">
        <w:t>ppendix</w:t>
      </w:r>
      <w:r>
        <w:t xml:space="preserve"> 1</w:t>
      </w:r>
      <w:r w:rsidRPr="001356F1">
        <w:t xml:space="preserve">. </w:t>
      </w:r>
    </w:p>
    <w:p w:rsidR="002329CF" w:rsidRPr="001356F1" w:rsidRDefault="002329CF" w:rsidP="0050321C">
      <w:pPr>
        <w:pStyle w:val="Heading1"/>
      </w:pPr>
      <w:r w:rsidRPr="001356F1">
        <w:t xml:space="preserve">Equalities impact </w:t>
      </w:r>
    </w:p>
    <w:p w:rsidR="00CE35E8" w:rsidRPr="00CE35E8" w:rsidRDefault="00CE35E8" w:rsidP="00CE35E8">
      <w:pPr>
        <w:pStyle w:val="ListParagraph"/>
      </w:pPr>
      <w:r w:rsidRPr="001356F1">
        <w:t>A</w:t>
      </w:r>
      <w:r>
        <w:t xml:space="preserve">n </w:t>
      </w:r>
      <w:r w:rsidRPr="001356F1">
        <w:t xml:space="preserve">Equalities Impact Assessment </w:t>
      </w:r>
      <w:r>
        <w:t>is provided at A</w:t>
      </w:r>
      <w:r w:rsidRPr="001356F1">
        <w:t>ppendix</w:t>
      </w:r>
      <w:r>
        <w:t xml:space="preserve"> 2</w:t>
      </w:r>
      <w:r w:rsidRPr="001356F1">
        <w:t xml:space="preserve">. </w:t>
      </w:r>
      <w:r>
        <w:t xml:space="preserve">  There are no adverse impacts in undertaking this activity, with the potential to improve provision for vulnerable and marginalised households.</w:t>
      </w:r>
    </w:p>
    <w:p w:rsidR="00E87F7A" w:rsidRPr="001356F1" w:rsidRDefault="00E87F7A" w:rsidP="00E87F7A">
      <w:pPr>
        <w:pStyle w:val="Heading1"/>
      </w:pPr>
      <w:r w:rsidRPr="001356F1">
        <w:t>Conclusion</w:t>
      </w:r>
    </w:p>
    <w:p w:rsidR="001A0F1A" w:rsidRPr="001A0F1A" w:rsidRDefault="00CE35E8" w:rsidP="001A0F1A">
      <w:pPr>
        <w:pStyle w:val="ListParagraph"/>
        <w:spacing w:after="240"/>
        <w:ind w:left="425" w:hanging="425"/>
        <w:rPr>
          <w:sz w:val="16"/>
          <w:szCs w:val="16"/>
        </w:rPr>
      </w:pPr>
      <w:r>
        <w:t>That the Council should look to use this opportunity to acquire additional</w:t>
      </w:r>
      <w:r w:rsidR="00B24201">
        <w:t xml:space="preserve"> </w:t>
      </w:r>
      <w:r>
        <w:t>affordable housing, at social rent, as set out in this report.</w:t>
      </w: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CE35E8" w:rsidRPr="001356F1" w:rsidTr="006914A9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E35E8" w:rsidRPr="001356F1" w:rsidRDefault="00CE35E8" w:rsidP="006914A9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35E8" w:rsidRPr="001356F1" w:rsidRDefault="00CE35E8" w:rsidP="006914A9">
            <w:r>
              <w:t>Dave Scholes</w:t>
            </w:r>
          </w:p>
        </w:tc>
      </w:tr>
      <w:tr w:rsidR="00CE35E8" w:rsidRPr="001356F1" w:rsidTr="006914A9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CE35E8" w:rsidRPr="001356F1" w:rsidRDefault="00CE35E8" w:rsidP="00BA7769">
            <w:pPr>
              <w:spacing w:after="0" w:line="276" w:lineRule="auto"/>
            </w:pPr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E35E8" w:rsidRPr="001356F1" w:rsidRDefault="00CE35E8" w:rsidP="00BA7769">
            <w:pPr>
              <w:spacing w:after="0" w:line="276" w:lineRule="auto"/>
            </w:pPr>
            <w:r>
              <w:t>Housing Strategy and Needs Manager</w:t>
            </w:r>
          </w:p>
        </w:tc>
      </w:tr>
      <w:tr w:rsidR="00CE35E8" w:rsidRPr="001356F1" w:rsidTr="006914A9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CE35E8" w:rsidRPr="001356F1" w:rsidRDefault="00CE35E8" w:rsidP="00BA7769">
            <w:pPr>
              <w:spacing w:after="0" w:line="276" w:lineRule="auto"/>
            </w:pPr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E35E8" w:rsidRPr="001356F1" w:rsidRDefault="00CE35E8" w:rsidP="00BA7769">
            <w:pPr>
              <w:spacing w:after="0" w:line="276" w:lineRule="auto"/>
            </w:pPr>
            <w:r>
              <w:t>Housing and Property</w:t>
            </w:r>
          </w:p>
        </w:tc>
      </w:tr>
      <w:tr w:rsidR="00CE35E8" w:rsidRPr="001356F1" w:rsidTr="006914A9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CE35E8" w:rsidRPr="001356F1" w:rsidRDefault="00CE35E8" w:rsidP="00BA7769">
            <w:pPr>
              <w:spacing w:after="0" w:line="276" w:lineRule="auto"/>
            </w:pPr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E35E8" w:rsidRPr="001356F1" w:rsidRDefault="00CE35E8" w:rsidP="00BA7769">
            <w:pPr>
              <w:spacing w:after="0" w:line="276" w:lineRule="auto"/>
            </w:pPr>
            <w:r w:rsidRPr="001356F1">
              <w:t xml:space="preserve">01865 </w:t>
            </w:r>
            <w:r>
              <w:t>252636</w:t>
            </w:r>
            <w:r w:rsidRPr="001356F1">
              <w:t xml:space="preserve">  </w:t>
            </w:r>
          </w:p>
        </w:tc>
      </w:tr>
      <w:tr w:rsidR="00CE35E8" w:rsidRPr="001356F1" w:rsidTr="006914A9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E35E8" w:rsidRPr="001356F1" w:rsidRDefault="00CE35E8" w:rsidP="00BA7769">
            <w:pPr>
              <w:spacing w:after="0" w:line="276" w:lineRule="auto"/>
            </w:pPr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35E8" w:rsidRPr="001356F1" w:rsidRDefault="00CE35E8" w:rsidP="00BA7769">
            <w:pPr>
              <w:spacing w:after="0" w:line="276" w:lineRule="auto"/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dscholes@oxford.gov.uk</w:t>
            </w:r>
          </w:p>
        </w:tc>
      </w:tr>
    </w:tbl>
    <w:p w:rsidR="00CE35E8" w:rsidRPr="001356F1" w:rsidRDefault="00CE35E8" w:rsidP="00CE35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E35E8" w:rsidRPr="001356F1" w:rsidTr="006914A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35E8" w:rsidRPr="001356F1" w:rsidRDefault="00CE35E8" w:rsidP="006914A9">
            <w:r w:rsidRPr="001356F1">
              <w:rPr>
                <w:rStyle w:val="Firstpagetablebold"/>
              </w:rPr>
              <w:t xml:space="preserve">Background Papers: </w:t>
            </w:r>
            <w:r>
              <w:rPr>
                <w:rStyle w:val="Firstpagetablebold"/>
              </w:rPr>
              <w:t xml:space="preserve">                       </w:t>
            </w:r>
            <w:bookmarkStart w:id="0" w:name="_GoBack"/>
            <w:r w:rsidRPr="008C2D4E">
              <w:rPr>
                <w:rStyle w:val="Firstpagetablebold"/>
                <w:b w:val="0"/>
              </w:rPr>
              <w:t>None</w:t>
            </w:r>
            <w:bookmarkEnd w:id="0"/>
          </w:p>
        </w:tc>
      </w:tr>
    </w:tbl>
    <w:p w:rsidR="00CE35E8" w:rsidRDefault="00CE35E8" w:rsidP="001A0F1A"/>
    <w:sectPr w:rsidR="00CE35E8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28" w:rsidRDefault="008B1928" w:rsidP="004A6D2F">
      <w:r>
        <w:separator/>
      </w:r>
    </w:p>
  </w:endnote>
  <w:endnote w:type="continuationSeparator" w:id="0">
    <w:p w:rsidR="008B1928" w:rsidRDefault="008B1928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28" w:rsidRDefault="008B1928" w:rsidP="004A6D2F">
      <w:r>
        <w:separator/>
      </w:r>
    </w:p>
  </w:footnote>
  <w:footnote w:type="continuationSeparator" w:id="0">
    <w:p w:rsidR="008B1928" w:rsidRDefault="008B1928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CE35E8" w:rsidP="00D5547E">
    <w:pPr>
      <w:pStyle w:val="Header"/>
      <w:jc w:val="right"/>
    </w:pPr>
    <w:r>
      <w:rPr>
        <w:noProof/>
      </w:rPr>
      <w:drawing>
        <wp:inline distT="0" distB="0" distL="0" distR="0" wp14:anchorId="28B2AE0A" wp14:editId="69CB81C2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263A6A"/>
    <w:multiLevelType w:val="multilevel"/>
    <w:tmpl w:val="43D6D2FA"/>
    <w:numStyleLink w:val="StyleBulletedSymbolsymbolLeft063cmHanging063cm"/>
  </w:abstractNum>
  <w:abstractNum w:abstractNumId="18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BA5FD8"/>
    <w:multiLevelType w:val="multilevel"/>
    <w:tmpl w:val="43D6D2FA"/>
    <w:numStyleLink w:val="StyleBulletedSymbolsymbolLeft063cmHanging063cm"/>
  </w:abstractNum>
  <w:abstractNum w:abstractNumId="27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22831"/>
    <w:multiLevelType w:val="multilevel"/>
    <w:tmpl w:val="43D6D2FA"/>
    <w:numStyleLink w:val="StyleBulletedSymbolsymbolLeft063cmHanging063cm"/>
  </w:abstractNum>
  <w:abstractNum w:abstractNumId="29">
    <w:nsid w:val="648C240E"/>
    <w:multiLevelType w:val="hybridMultilevel"/>
    <w:tmpl w:val="5AB6588E"/>
    <w:lvl w:ilvl="0" w:tplc="8D3C99A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8365C6"/>
    <w:multiLevelType w:val="multilevel"/>
    <w:tmpl w:val="E67CE66C"/>
    <w:numStyleLink w:val="StyleNumberedLeft0cmHanging075cm"/>
  </w:abstractNum>
  <w:num w:numId="1">
    <w:abstractNumId w:val="25"/>
  </w:num>
  <w:num w:numId="2">
    <w:abstractNumId w:val="31"/>
  </w:num>
  <w:num w:numId="3">
    <w:abstractNumId w:val="22"/>
  </w:num>
  <w:num w:numId="4">
    <w:abstractNumId w:val="18"/>
  </w:num>
  <w:num w:numId="5">
    <w:abstractNumId w:val="27"/>
  </w:num>
  <w:num w:numId="6">
    <w:abstractNumId w:val="32"/>
  </w:num>
  <w:num w:numId="7">
    <w:abstractNumId w:val="21"/>
  </w:num>
  <w:num w:numId="8">
    <w:abstractNumId w:val="19"/>
  </w:num>
  <w:num w:numId="9">
    <w:abstractNumId w:val="13"/>
  </w:num>
  <w:num w:numId="10">
    <w:abstractNumId w:val="15"/>
  </w:num>
  <w:num w:numId="11">
    <w:abstractNumId w:val="24"/>
  </w:num>
  <w:num w:numId="12">
    <w:abstractNumId w:val="23"/>
  </w:num>
  <w:num w:numId="13">
    <w:abstractNumId w:val="10"/>
  </w:num>
  <w:num w:numId="14">
    <w:abstractNumId w:val="33"/>
    <w:lvlOverride w:ilvl="0">
      <w:lvl w:ilvl="0">
        <w:start w:val="1"/>
        <w:numFmt w:val="decimal"/>
        <w:pStyle w:val="ListParagraph"/>
        <w:lvlText w:val="%1."/>
        <w:lvlJc w:val="left"/>
        <w:pPr>
          <w:ind w:left="360" w:hanging="360"/>
        </w:pPr>
        <w:rPr>
          <w:rFonts w:ascii="Arial" w:hAnsi="Arial"/>
          <w:b w:val="0"/>
          <w:color w:val="000000"/>
          <w:sz w:val="24"/>
        </w:rPr>
      </w:lvl>
    </w:lvlOverride>
  </w:num>
  <w:num w:numId="15">
    <w:abstractNumId w:val="16"/>
  </w:num>
  <w:num w:numId="16">
    <w:abstractNumId w:val="11"/>
  </w:num>
  <w:num w:numId="17">
    <w:abstractNumId w:val="26"/>
  </w:num>
  <w:num w:numId="18">
    <w:abstractNumId w:val="12"/>
  </w:num>
  <w:num w:numId="19">
    <w:abstractNumId w:val="28"/>
  </w:num>
  <w:num w:numId="20">
    <w:abstractNumId w:val="17"/>
  </w:num>
  <w:num w:numId="21">
    <w:abstractNumId w:val="20"/>
  </w:num>
  <w:num w:numId="22">
    <w:abstractNumId w:val="14"/>
  </w:num>
  <w:num w:numId="23">
    <w:abstractNumId w:val="30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9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FIELD Jane">
    <w15:presenceInfo w15:providerId="AD" w15:userId="S::JWinfield@oxford.gov.uk::1b979f9c-f81c-4cb2-ab99-fcc5656eae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48"/>
    <w:rsid w:val="000117D4"/>
    <w:rsid w:val="000314D7"/>
    <w:rsid w:val="00045F8B"/>
    <w:rsid w:val="00046D2B"/>
    <w:rsid w:val="00047C9D"/>
    <w:rsid w:val="00056263"/>
    <w:rsid w:val="000623FB"/>
    <w:rsid w:val="00064D8A"/>
    <w:rsid w:val="00064F82"/>
    <w:rsid w:val="00066510"/>
    <w:rsid w:val="000720DF"/>
    <w:rsid w:val="00077523"/>
    <w:rsid w:val="000A486C"/>
    <w:rsid w:val="000C089F"/>
    <w:rsid w:val="000C3928"/>
    <w:rsid w:val="000C5E8E"/>
    <w:rsid w:val="000F4751"/>
    <w:rsid w:val="0010524C"/>
    <w:rsid w:val="00111FB1"/>
    <w:rsid w:val="00113418"/>
    <w:rsid w:val="00132DDF"/>
    <w:rsid w:val="001356F1"/>
    <w:rsid w:val="00136994"/>
    <w:rsid w:val="0014128E"/>
    <w:rsid w:val="00151888"/>
    <w:rsid w:val="00156577"/>
    <w:rsid w:val="00170A2D"/>
    <w:rsid w:val="001808BC"/>
    <w:rsid w:val="00182B81"/>
    <w:rsid w:val="0018619D"/>
    <w:rsid w:val="001A011E"/>
    <w:rsid w:val="001A066A"/>
    <w:rsid w:val="001A0F1A"/>
    <w:rsid w:val="001A13E6"/>
    <w:rsid w:val="001A5731"/>
    <w:rsid w:val="001B42C3"/>
    <w:rsid w:val="001C5D5E"/>
    <w:rsid w:val="001C6795"/>
    <w:rsid w:val="001D13B2"/>
    <w:rsid w:val="001D678D"/>
    <w:rsid w:val="001E03F8"/>
    <w:rsid w:val="001E1678"/>
    <w:rsid w:val="001E3376"/>
    <w:rsid w:val="001F71A3"/>
    <w:rsid w:val="00205E96"/>
    <w:rsid w:val="002069B3"/>
    <w:rsid w:val="002329CF"/>
    <w:rsid w:val="00232F5B"/>
    <w:rsid w:val="00247C29"/>
    <w:rsid w:val="00260467"/>
    <w:rsid w:val="00263EA3"/>
    <w:rsid w:val="002675C2"/>
    <w:rsid w:val="00284F85"/>
    <w:rsid w:val="00290915"/>
    <w:rsid w:val="002A22E2"/>
    <w:rsid w:val="002C64F7"/>
    <w:rsid w:val="002C70C0"/>
    <w:rsid w:val="002F41F2"/>
    <w:rsid w:val="002F4E89"/>
    <w:rsid w:val="00301BF3"/>
    <w:rsid w:val="0030208D"/>
    <w:rsid w:val="00304386"/>
    <w:rsid w:val="00315310"/>
    <w:rsid w:val="00323418"/>
    <w:rsid w:val="00330BA1"/>
    <w:rsid w:val="003357BF"/>
    <w:rsid w:val="003461D6"/>
    <w:rsid w:val="00364FAD"/>
    <w:rsid w:val="0036738F"/>
    <w:rsid w:val="0036759C"/>
    <w:rsid w:val="00367AE5"/>
    <w:rsid w:val="00367D71"/>
    <w:rsid w:val="00375302"/>
    <w:rsid w:val="0038150A"/>
    <w:rsid w:val="00381684"/>
    <w:rsid w:val="003B00A1"/>
    <w:rsid w:val="003B6E75"/>
    <w:rsid w:val="003B7DA1"/>
    <w:rsid w:val="003D0379"/>
    <w:rsid w:val="003D2574"/>
    <w:rsid w:val="003D4C59"/>
    <w:rsid w:val="003D6DE5"/>
    <w:rsid w:val="003F4267"/>
    <w:rsid w:val="003F7EB9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EAF"/>
    <w:rsid w:val="004738C5"/>
    <w:rsid w:val="00491046"/>
    <w:rsid w:val="004A2AC7"/>
    <w:rsid w:val="004A6D2F"/>
    <w:rsid w:val="004B40F3"/>
    <w:rsid w:val="004C2887"/>
    <w:rsid w:val="004D2626"/>
    <w:rsid w:val="004D6E26"/>
    <w:rsid w:val="004D77D3"/>
    <w:rsid w:val="004E2959"/>
    <w:rsid w:val="004F20EF"/>
    <w:rsid w:val="0050321C"/>
    <w:rsid w:val="0053400A"/>
    <w:rsid w:val="0054712D"/>
    <w:rsid w:val="00547EF6"/>
    <w:rsid w:val="005570B5"/>
    <w:rsid w:val="00567E18"/>
    <w:rsid w:val="00575F5F"/>
    <w:rsid w:val="00581805"/>
    <w:rsid w:val="00585F76"/>
    <w:rsid w:val="005A34E4"/>
    <w:rsid w:val="005A442D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41BB"/>
    <w:rsid w:val="005F7F7E"/>
    <w:rsid w:val="00614693"/>
    <w:rsid w:val="00614848"/>
    <w:rsid w:val="00623C2F"/>
    <w:rsid w:val="00633578"/>
    <w:rsid w:val="006351CA"/>
    <w:rsid w:val="00637068"/>
    <w:rsid w:val="00650811"/>
    <w:rsid w:val="00661D3E"/>
    <w:rsid w:val="00670CFA"/>
    <w:rsid w:val="00692627"/>
    <w:rsid w:val="006969E7"/>
    <w:rsid w:val="006A3643"/>
    <w:rsid w:val="006C2A29"/>
    <w:rsid w:val="006C64CF"/>
    <w:rsid w:val="006D17B1"/>
    <w:rsid w:val="006D4752"/>
    <w:rsid w:val="006D6E1A"/>
    <w:rsid w:val="006D708A"/>
    <w:rsid w:val="006E14C1"/>
    <w:rsid w:val="006F0292"/>
    <w:rsid w:val="006F27FA"/>
    <w:rsid w:val="006F416B"/>
    <w:rsid w:val="006F519B"/>
    <w:rsid w:val="0070493D"/>
    <w:rsid w:val="007066D0"/>
    <w:rsid w:val="00713675"/>
    <w:rsid w:val="00713DB7"/>
    <w:rsid w:val="00715823"/>
    <w:rsid w:val="00737B93"/>
    <w:rsid w:val="00745BF0"/>
    <w:rsid w:val="007615FE"/>
    <w:rsid w:val="0076655C"/>
    <w:rsid w:val="007742DC"/>
    <w:rsid w:val="00791437"/>
    <w:rsid w:val="007B0C2C"/>
    <w:rsid w:val="007B278E"/>
    <w:rsid w:val="007C5C23"/>
    <w:rsid w:val="007E18D7"/>
    <w:rsid w:val="007E2A26"/>
    <w:rsid w:val="007F2348"/>
    <w:rsid w:val="00803F07"/>
    <w:rsid w:val="0080749A"/>
    <w:rsid w:val="00821FB8"/>
    <w:rsid w:val="00822ACD"/>
    <w:rsid w:val="00855C66"/>
    <w:rsid w:val="00871EE4"/>
    <w:rsid w:val="008749C2"/>
    <w:rsid w:val="008B1928"/>
    <w:rsid w:val="008B1DE2"/>
    <w:rsid w:val="008B293F"/>
    <w:rsid w:val="008B7371"/>
    <w:rsid w:val="008C2D4E"/>
    <w:rsid w:val="008D3DDB"/>
    <w:rsid w:val="008E190D"/>
    <w:rsid w:val="008F573F"/>
    <w:rsid w:val="009034EC"/>
    <w:rsid w:val="00910FD8"/>
    <w:rsid w:val="0093067A"/>
    <w:rsid w:val="00941C60"/>
    <w:rsid w:val="00966D42"/>
    <w:rsid w:val="00971689"/>
    <w:rsid w:val="00973E90"/>
    <w:rsid w:val="00975B07"/>
    <w:rsid w:val="00980B4A"/>
    <w:rsid w:val="00981A86"/>
    <w:rsid w:val="009D453C"/>
    <w:rsid w:val="009E3D0A"/>
    <w:rsid w:val="009E51FC"/>
    <w:rsid w:val="009F1D28"/>
    <w:rsid w:val="009F7618"/>
    <w:rsid w:val="009F7656"/>
    <w:rsid w:val="00A04D23"/>
    <w:rsid w:val="00A06766"/>
    <w:rsid w:val="00A13765"/>
    <w:rsid w:val="00A21B12"/>
    <w:rsid w:val="00A23F80"/>
    <w:rsid w:val="00A46E98"/>
    <w:rsid w:val="00A5617B"/>
    <w:rsid w:val="00A6352B"/>
    <w:rsid w:val="00A701B5"/>
    <w:rsid w:val="00A714BB"/>
    <w:rsid w:val="00A92D8F"/>
    <w:rsid w:val="00AB2988"/>
    <w:rsid w:val="00AB7999"/>
    <w:rsid w:val="00AD3292"/>
    <w:rsid w:val="00AE7AF0"/>
    <w:rsid w:val="00AF424F"/>
    <w:rsid w:val="00B02F29"/>
    <w:rsid w:val="00B24201"/>
    <w:rsid w:val="00B33B34"/>
    <w:rsid w:val="00B500CA"/>
    <w:rsid w:val="00B86314"/>
    <w:rsid w:val="00B90843"/>
    <w:rsid w:val="00B94A3A"/>
    <w:rsid w:val="00BA1C2E"/>
    <w:rsid w:val="00BA1CB5"/>
    <w:rsid w:val="00BA7769"/>
    <w:rsid w:val="00BC200B"/>
    <w:rsid w:val="00BC4756"/>
    <w:rsid w:val="00BC69A4"/>
    <w:rsid w:val="00BE0680"/>
    <w:rsid w:val="00BE305F"/>
    <w:rsid w:val="00BE5C7D"/>
    <w:rsid w:val="00BE7BA3"/>
    <w:rsid w:val="00BF5682"/>
    <w:rsid w:val="00BF5FFA"/>
    <w:rsid w:val="00BF7B09"/>
    <w:rsid w:val="00C20A95"/>
    <w:rsid w:val="00C20DDD"/>
    <w:rsid w:val="00C2692F"/>
    <w:rsid w:val="00C3207C"/>
    <w:rsid w:val="00C400E1"/>
    <w:rsid w:val="00C41187"/>
    <w:rsid w:val="00C63C31"/>
    <w:rsid w:val="00C757A0"/>
    <w:rsid w:val="00C760DE"/>
    <w:rsid w:val="00C82630"/>
    <w:rsid w:val="00C85B4E"/>
    <w:rsid w:val="00C907F7"/>
    <w:rsid w:val="00CA2103"/>
    <w:rsid w:val="00CA2F3E"/>
    <w:rsid w:val="00CB6B99"/>
    <w:rsid w:val="00CB7B88"/>
    <w:rsid w:val="00CE35E8"/>
    <w:rsid w:val="00CE4C87"/>
    <w:rsid w:val="00CE544A"/>
    <w:rsid w:val="00D11E1C"/>
    <w:rsid w:val="00D1272D"/>
    <w:rsid w:val="00D160B0"/>
    <w:rsid w:val="00D17F94"/>
    <w:rsid w:val="00D223FC"/>
    <w:rsid w:val="00D26D1E"/>
    <w:rsid w:val="00D474CF"/>
    <w:rsid w:val="00D5547E"/>
    <w:rsid w:val="00D869A1"/>
    <w:rsid w:val="00DA413F"/>
    <w:rsid w:val="00DA4584"/>
    <w:rsid w:val="00DA614B"/>
    <w:rsid w:val="00DC3060"/>
    <w:rsid w:val="00DD7FF2"/>
    <w:rsid w:val="00DE0FB2"/>
    <w:rsid w:val="00DF093E"/>
    <w:rsid w:val="00E01F42"/>
    <w:rsid w:val="00E04CA2"/>
    <w:rsid w:val="00E206D6"/>
    <w:rsid w:val="00E3366E"/>
    <w:rsid w:val="00E44CBF"/>
    <w:rsid w:val="00E4732E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C15E6"/>
    <w:rsid w:val="00ED52CA"/>
    <w:rsid w:val="00ED5860"/>
    <w:rsid w:val="00EE35C9"/>
    <w:rsid w:val="00F05ECA"/>
    <w:rsid w:val="00F30F73"/>
    <w:rsid w:val="00F3566E"/>
    <w:rsid w:val="00F375FB"/>
    <w:rsid w:val="00F41AC1"/>
    <w:rsid w:val="00F4367A"/>
    <w:rsid w:val="00F445B1"/>
    <w:rsid w:val="00F45CD4"/>
    <w:rsid w:val="00F525EF"/>
    <w:rsid w:val="00F66DCA"/>
    <w:rsid w:val="00F74F53"/>
    <w:rsid w:val="00F7606D"/>
    <w:rsid w:val="00F81670"/>
    <w:rsid w:val="00F82024"/>
    <w:rsid w:val="00F873C6"/>
    <w:rsid w:val="00F95BC9"/>
    <w:rsid w:val="00FA624C"/>
    <w:rsid w:val="00FC6127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.Scholes\Downloads\CEB%20report%20-%20blank%20template%20to%20be%20used%20from%20January%202016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FF59-7476-47B1-B0E3-A473CB0A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 report - blank template to be used from January 2016 (3)</Template>
  <TotalTime>42</TotalTime>
  <Pages>3</Pages>
  <Words>1091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Dave.Scholes</dc:creator>
  <cp:lastModifiedBy>JMitchell</cp:lastModifiedBy>
  <cp:revision>8</cp:revision>
  <cp:lastPrinted>2019-02-04T14:35:00Z</cp:lastPrinted>
  <dcterms:created xsi:type="dcterms:W3CDTF">2019-02-15T13:20:00Z</dcterms:created>
  <dcterms:modified xsi:type="dcterms:W3CDTF">2019-02-28T14:20:00Z</dcterms:modified>
</cp:coreProperties>
</file>